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5500"/>
        <w:gridCol w:w="3526"/>
      </w:tblGrid>
      <w:tr w:rsidR="00C2089B" w14:paraId="1DD1826C" w14:textId="77777777">
        <w:tc>
          <w:tcPr>
            <w:tcW w:w="5500" w:type="dxa"/>
            <w:tcBorders>
              <w:top w:val="single" w:sz="8" w:space="0" w:color="3F049C"/>
              <w:left w:val="single" w:sz="8" w:space="0" w:color="3F049C"/>
              <w:bottom w:val="none" w:sz="0" w:space="0" w:color="FFFFFF"/>
              <w:right w:val="none" w:sz="0" w:space="0" w:color="FFFFFF"/>
            </w:tcBorders>
            <w:shd w:val="clear" w:color="auto" w:fill="EDE8F7"/>
            <w:tcMar>
              <w:top w:w="80" w:type="dxa"/>
              <w:left w:w="120" w:type="dxa"/>
              <w:bottom w:w="80" w:type="dxa"/>
              <w:right w:w="120" w:type="dxa"/>
            </w:tcMar>
          </w:tcPr>
          <w:p w14:paraId="1DD1826A" w14:textId="38DB0475" w:rsidR="00C2089B" w:rsidRDefault="00846DC3">
            <w:r>
              <w:rPr>
                <w:b/>
                <w:bCs/>
                <w:color w:val="3F049C"/>
              </w:rPr>
              <w:t xml:space="preserve">APPLICABLE TO: </w:t>
            </w:r>
            <w:r>
              <w:t>All NZOHS members participating in the Mentoring Programme</w:t>
            </w:r>
          </w:p>
        </w:tc>
        <w:tc>
          <w:tcPr>
            <w:tcW w:w="3526" w:type="dxa"/>
            <w:tcBorders>
              <w:top w:val="single" w:sz="8" w:space="0" w:color="3F049C"/>
              <w:left w:val="single" w:sz="8" w:space="0" w:color="3F049C"/>
              <w:bottom w:val="none" w:sz="0" w:space="0" w:color="FFFFFF"/>
              <w:right w:val="single" w:sz="8" w:space="0" w:color="3F049C"/>
            </w:tcBorders>
            <w:shd w:val="clear" w:color="auto" w:fill="EDE8F7"/>
            <w:tcMar>
              <w:top w:w="80" w:type="dxa"/>
              <w:left w:w="120" w:type="dxa"/>
              <w:bottom w:w="80" w:type="dxa"/>
              <w:right w:w="120" w:type="dxa"/>
            </w:tcMar>
          </w:tcPr>
          <w:p w14:paraId="46943AAD" w14:textId="77777777" w:rsidR="00846DC3" w:rsidRDefault="00846DC3" w:rsidP="00846DC3">
            <w:pPr>
              <w:rPr>
                <w:b/>
                <w:bCs/>
                <w:color w:val="1A1A1A"/>
              </w:rPr>
            </w:pPr>
            <w:r>
              <w:rPr>
                <w:b/>
                <w:bCs/>
                <w:color w:val="3F049C"/>
              </w:rPr>
              <w:t xml:space="preserve">REV NO.: </w:t>
            </w:r>
            <w:r w:rsidRPr="00227BE1">
              <w:rPr>
                <w:color w:val="1A1A1A"/>
              </w:rPr>
              <w:t>001</w:t>
            </w:r>
          </w:p>
          <w:p w14:paraId="1DD1826B" w14:textId="3F9BE0C7" w:rsidR="00C2089B" w:rsidRDefault="00846DC3" w:rsidP="00846DC3">
            <w:r>
              <w:rPr>
                <w:b/>
                <w:bCs/>
                <w:color w:val="3F049C"/>
              </w:rPr>
              <w:t>DATE:</w:t>
            </w:r>
            <w:r>
              <w:t xml:space="preserve"> 24/04/2026</w:t>
            </w:r>
          </w:p>
        </w:tc>
      </w:tr>
      <w:tr w:rsidR="00C2089B" w14:paraId="1DD18271" w14:textId="77777777">
        <w:tc>
          <w:tcPr>
            <w:tcW w:w="9026" w:type="dxa"/>
            <w:gridSpan w:val="2"/>
            <w:tcBorders>
              <w:top w:val="single" w:sz="2" w:space="0" w:color="B083BC"/>
              <w:left w:val="single" w:sz="8" w:space="0" w:color="3F049C"/>
              <w:bottom w:val="single" w:sz="8" w:space="0" w:color="3F049C"/>
              <w:right w:val="single" w:sz="8" w:space="0" w:color="3F049C"/>
            </w:tcBorders>
            <w:shd w:val="clear" w:color="auto" w:fill="3F049C"/>
            <w:tcMar>
              <w:top w:w="120" w:type="dxa"/>
              <w:left w:w="200" w:type="dxa"/>
              <w:bottom w:w="120" w:type="dxa"/>
              <w:right w:w="200" w:type="dxa"/>
            </w:tcMar>
            <w:vAlign w:val="center"/>
          </w:tcPr>
          <w:p w14:paraId="1DD18270" w14:textId="77777777" w:rsidR="00C2089B" w:rsidRDefault="00856391">
            <w:pPr>
              <w:jc w:val="center"/>
            </w:pPr>
            <w:r>
              <w:rPr>
                <w:b/>
                <w:bCs/>
                <w:color w:val="FFFFFF"/>
                <w:sz w:val="28"/>
                <w:szCs w:val="28"/>
              </w:rPr>
              <w:t>Mentoring Programme — Participant Guide</w:t>
            </w:r>
          </w:p>
        </w:tc>
      </w:tr>
    </w:tbl>
    <w:p w14:paraId="1DD18272" w14:textId="77777777" w:rsidR="00C2089B" w:rsidRDefault="00C2089B">
      <w:pPr>
        <w:spacing w:before="200"/>
      </w:pPr>
    </w:p>
    <w:p w14:paraId="1DD18273" w14:textId="77777777" w:rsidR="00C2089B" w:rsidRDefault="00856391">
      <w:pPr>
        <w:pStyle w:val="Heading1"/>
      </w:pPr>
      <w:r>
        <w:t>1. Introduction</w:t>
      </w:r>
    </w:p>
    <w:p w14:paraId="1DD18274" w14:textId="77777777" w:rsidR="00C2089B" w:rsidRDefault="00856391">
      <w:pPr>
        <w:spacing w:before="60" w:after="120"/>
      </w:pPr>
      <w:r>
        <w:t xml:space="preserve">This guide is for everyone participating in the NZOHS Mentoring Programme — whether you are joining as a mentor, a mentee, or both. Read it before your relationship starts and </w:t>
      </w:r>
      <w:proofErr w:type="gramStart"/>
      <w:r>
        <w:t>refer back</w:t>
      </w:r>
      <w:proofErr w:type="gramEnd"/>
      <w:r>
        <w:t xml:space="preserve"> to it at key milestones.</w:t>
      </w:r>
    </w:p>
    <w:p w14:paraId="1DD18275" w14:textId="77777777" w:rsidR="00C2089B" w:rsidRDefault="00C2089B">
      <w:pPr>
        <w:spacing w:before="80"/>
      </w:pPr>
    </w:p>
    <w:p w14:paraId="1DD18276" w14:textId="77777777" w:rsidR="00C2089B" w:rsidRDefault="00856391">
      <w:pPr>
        <w:spacing w:before="60" w:after="120"/>
      </w:pPr>
      <w:r>
        <w:t>It replaces the previous Mentoring Process Document and should be read alongside the Mentoring Agreement Form.</w:t>
      </w:r>
    </w:p>
    <w:p w14:paraId="1DD18277" w14:textId="77777777" w:rsidR="00C2089B" w:rsidRDefault="00C2089B">
      <w:pPr>
        <w:spacing w:before="120"/>
      </w:pPr>
    </w:p>
    <w:p w14:paraId="1DD18278" w14:textId="77777777" w:rsidR="00C2089B" w:rsidRDefault="00856391">
      <w:pPr>
        <w:pStyle w:val="Heading1"/>
      </w:pPr>
      <w:r>
        <w:t>2. What is Mentoring?</w:t>
      </w:r>
    </w:p>
    <w:p w14:paraId="1DD18279" w14:textId="77777777" w:rsidR="00C2089B" w:rsidRDefault="00856391">
      <w:pPr>
        <w:spacing w:before="60" w:after="120"/>
      </w:pPr>
      <w:r>
        <w:t>Mentoring is a professional relationship between two people at different stages of their career. The mentor's role is to support and encourage the mentee's development — not to supervise, direct, or manage their work.</w:t>
      </w:r>
    </w:p>
    <w:p w14:paraId="1DD1827A" w14:textId="77777777" w:rsidR="00C2089B" w:rsidRDefault="00C2089B">
      <w:pPr>
        <w:spacing w:before="80"/>
      </w:pPr>
    </w:p>
    <w:tbl>
      <w:tblPr>
        <w:tblW w:w="9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9026"/>
      </w:tblGrid>
      <w:tr w:rsidR="00C2089B" w14:paraId="1DD1827C" w14:textId="77777777">
        <w:tc>
          <w:tcPr>
            <w:tcW w:w="0" w:type="auto"/>
            <w:tcBorders>
              <w:top w:val="none" w:sz="0" w:space="0" w:color="FFFFFF"/>
              <w:left w:val="single" w:sz="20" w:space="0" w:color="3358A6"/>
              <w:bottom w:val="none" w:sz="0" w:space="0" w:color="FFFFFF"/>
              <w:right w:val="none" w:sz="0" w:space="0" w:color="FFFFFF"/>
            </w:tcBorders>
            <w:shd w:val="clear" w:color="auto" w:fill="EBF0FA"/>
            <w:tcMar>
              <w:top w:w="100" w:type="dxa"/>
              <w:left w:w="200" w:type="dxa"/>
              <w:bottom w:w="100" w:type="dxa"/>
              <w:right w:w="120" w:type="dxa"/>
            </w:tcMar>
          </w:tcPr>
          <w:p w14:paraId="1DD1827B" w14:textId="77777777" w:rsidR="00C2089B" w:rsidRDefault="00856391">
            <w:pPr>
              <w:spacing w:before="40" w:after="40"/>
            </w:pPr>
            <w:r>
              <w:rPr>
                <w:color w:val="1A1A1A"/>
              </w:rPr>
              <w:t>Mentoring is NOT supervision. It is not performance management, training on specific tasks, or a platform to be directive. It is a professional relationship built on trust, openness, and mutual respect.</w:t>
            </w:r>
          </w:p>
        </w:tc>
      </w:tr>
    </w:tbl>
    <w:p w14:paraId="1DD1827D" w14:textId="77777777" w:rsidR="00C2089B" w:rsidRDefault="00C2089B">
      <w:pPr>
        <w:spacing w:before="120"/>
      </w:pPr>
    </w:p>
    <w:p w14:paraId="1DD1827E" w14:textId="77777777" w:rsidR="00C2089B" w:rsidRDefault="00856391">
      <w:pPr>
        <w:spacing w:before="60" w:after="120"/>
      </w:pPr>
      <w:r>
        <w:t>The programme supports three types of mentoring:</w:t>
      </w:r>
    </w:p>
    <w:p w14:paraId="1DD1827F" w14:textId="77777777" w:rsidR="00C2089B" w:rsidRDefault="00856391">
      <w:pPr>
        <w:pStyle w:val="ListParagraph"/>
        <w:numPr>
          <w:ilvl w:val="0"/>
          <w:numId w:val="2"/>
        </w:numPr>
        <w:spacing w:before="40" w:after="80"/>
      </w:pPr>
      <w:r>
        <w:t>Conventional mentoring — an experienced hygienist supports a member earlier in their career.</w:t>
      </w:r>
    </w:p>
    <w:p w14:paraId="1DD18280" w14:textId="77777777" w:rsidR="00C2089B" w:rsidRDefault="00856391">
      <w:pPr>
        <w:pStyle w:val="ListParagraph"/>
        <w:numPr>
          <w:ilvl w:val="0"/>
          <w:numId w:val="2"/>
        </w:numPr>
        <w:spacing w:before="40" w:after="80"/>
      </w:pPr>
      <w:r>
        <w:t>Peer mentoring — two hygienists at a similar career stage support each other.</w:t>
      </w:r>
    </w:p>
    <w:p w14:paraId="1DD18281" w14:textId="77777777" w:rsidR="00C2089B" w:rsidRDefault="00856391">
      <w:pPr>
        <w:pStyle w:val="ListParagraph"/>
        <w:numPr>
          <w:ilvl w:val="0"/>
          <w:numId w:val="2"/>
        </w:numPr>
        <w:spacing w:before="40" w:after="80"/>
      </w:pPr>
      <w:r>
        <w:t>Reverse mentoring — a newer practitioner shares emerging skills or perspectives with a more experienced colleague.</w:t>
      </w:r>
    </w:p>
    <w:p w14:paraId="1DD18282" w14:textId="77777777" w:rsidR="00C2089B" w:rsidRDefault="00C2089B">
      <w:pPr>
        <w:spacing w:before="120"/>
      </w:pPr>
    </w:p>
    <w:p w14:paraId="1DD18283" w14:textId="77777777" w:rsidR="00C2089B" w:rsidRDefault="00856391">
      <w:pPr>
        <w:pStyle w:val="Heading1"/>
      </w:pPr>
      <w:r>
        <w:t>3. Who Can Participate?</w:t>
      </w:r>
    </w:p>
    <w:p w14:paraId="1DD18284" w14:textId="77777777" w:rsidR="00C2089B" w:rsidRDefault="00856391">
      <w:pPr>
        <w:pStyle w:val="Heading2"/>
      </w:pPr>
      <w:r>
        <w:t>3.1 Mentors</w:t>
      </w:r>
    </w:p>
    <w:p w14:paraId="1DD18289" w14:textId="79C2306F" w:rsidR="00C2089B" w:rsidRDefault="00856391" w:rsidP="00710A62">
      <w:pPr>
        <w:spacing w:before="60" w:after="120"/>
      </w:pPr>
      <w:r>
        <w:t>Mentors must be full or fellow members of NZOHS and must act in accordance with the NZOHS Code of Professional Ethics. A mentor should have one mentee at a time; two is the maximum where capacity clearly exists.</w:t>
      </w:r>
    </w:p>
    <w:p w14:paraId="3FCBB442" w14:textId="77777777" w:rsidR="00710A62" w:rsidRDefault="00710A62" w:rsidP="00710A62">
      <w:pPr>
        <w:spacing w:before="60" w:after="120"/>
      </w:pPr>
    </w:p>
    <w:p w14:paraId="1DD1828A" w14:textId="77777777" w:rsidR="00C2089B" w:rsidRDefault="00856391">
      <w:pPr>
        <w:pStyle w:val="Heading2"/>
      </w:pPr>
      <w:r>
        <w:t>3.2 Mentees</w:t>
      </w:r>
    </w:p>
    <w:p w14:paraId="1DD1828B" w14:textId="77777777" w:rsidR="00C2089B" w:rsidRDefault="00856391">
      <w:pPr>
        <w:spacing w:before="60" w:after="120"/>
      </w:pPr>
      <w:r>
        <w:t>Mentees must be current NZOHS members at any level and must act in accordance with the NZOHS Code of Professional Ethics. Mentees should have a genuine development goal before applying — the clearer your starting point, the better the match.</w:t>
      </w:r>
    </w:p>
    <w:p w14:paraId="1DD1828D" w14:textId="77777777" w:rsidR="00C2089B" w:rsidRDefault="00856391">
      <w:pPr>
        <w:pStyle w:val="Heading1"/>
      </w:pPr>
      <w:r>
        <w:lastRenderedPageBreak/>
        <w:t>4. Benefits of Participation</w:t>
      </w:r>
    </w:p>
    <w:p w14:paraId="1DD1828E" w14:textId="77777777" w:rsidR="00C2089B" w:rsidRDefault="00856391">
      <w:pPr>
        <w:pStyle w:val="Heading2"/>
      </w:pPr>
      <w:r>
        <w:t>4.1 Benefits to Mentees</w:t>
      </w:r>
    </w:p>
    <w:p w14:paraId="1DD1828F" w14:textId="77777777" w:rsidR="00C2089B" w:rsidRDefault="00856391">
      <w:pPr>
        <w:pStyle w:val="ListParagraph"/>
        <w:numPr>
          <w:ilvl w:val="0"/>
          <w:numId w:val="2"/>
        </w:numPr>
        <w:spacing w:before="40" w:after="80"/>
      </w:pPr>
      <w:r>
        <w:t>Clearer career direction and professional development.</w:t>
      </w:r>
    </w:p>
    <w:p w14:paraId="1DD18290" w14:textId="77777777" w:rsidR="00C2089B" w:rsidRDefault="00856391">
      <w:pPr>
        <w:pStyle w:val="ListParagraph"/>
        <w:numPr>
          <w:ilvl w:val="0"/>
          <w:numId w:val="2"/>
        </w:numPr>
        <w:spacing w:before="40" w:after="80"/>
      </w:pPr>
      <w:r>
        <w:t>Honest feedback from someone outside your day-to-day work environment.</w:t>
      </w:r>
    </w:p>
    <w:p w14:paraId="1DD18291" w14:textId="77777777" w:rsidR="00C2089B" w:rsidRDefault="00856391">
      <w:pPr>
        <w:pStyle w:val="ListParagraph"/>
        <w:numPr>
          <w:ilvl w:val="0"/>
          <w:numId w:val="2"/>
        </w:numPr>
        <w:spacing w:before="40" w:after="80"/>
      </w:pPr>
      <w:r>
        <w:t>Exposure to how experienced hygienists think and approach problems.</w:t>
      </w:r>
    </w:p>
    <w:p w14:paraId="1DD18292" w14:textId="77777777" w:rsidR="00C2089B" w:rsidRDefault="00856391">
      <w:pPr>
        <w:pStyle w:val="ListParagraph"/>
        <w:numPr>
          <w:ilvl w:val="0"/>
          <w:numId w:val="2"/>
        </w:numPr>
        <w:spacing w:before="40" w:after="80"/>
      </w:pPr>
      <w:r>
        <w:t>Increased confidence in your professional identity.</w:t>
      </w:r>
    </w:p>
    <w:p w14:paraId="1DD18293" w14:textId="77777777" w:rsidR="00C2089B" w:rsidRDefault="00856391">
      <w:pPr>
        <w:pStyle w:val="ListParagraph"/>
        <w:numPr>
          <w:ilvl w:val="0"/>
          <w:numId w:val="2"/>
        </w:numPr>
        <w:spacing w:before="40" w:after="80"/>
      </w:pPr>
      <w:r>
        <w:t>New professional contacts within NZOHS and the broader OH community.</w:t>
      </w:r>
    </w:p>
    <w:p w14:paraId="1DD18294" w14:textId="77777777" w:rsidR="00C2089B" w:rsidRDefault="00856391">
      <w:pPr>
        <w:pStyle w:val="ListParagraph"/>
        <w:numPr>
          <w:ilvl w:val="0"/>
          <w:numId w:val="2"/>
        </w:numPr>
        <w:spacing w:before="40" w:after="80"/>
      </w:pPr>
      <w:r>
        <w:t>CPD recognition for participation.</w:t>
      </w:r>
    </w:p>
    <w:p w14:paraId="1DD18295" w14:textId="77777777" w:rsidR="00C2089B" w:rsidRDefault="00C2089B">
      <w:pPr>
        <w:spacing w:before="80"/>
      </w:pPr>
    </w:p>
    <w:p w14:paraId="1DD18296" w14:textId="77777777" w:rsidR="00C2089B" w:rsidRDefault="00856391">
      <w:pPr>
        <w:pStyle w:val="Heading2"/>
      </w:pPr>
      <w:r>
        <w:t>4.2 Benefits to Mentors</w:t>
      </w:r>
    </w:p>
    <w:p w14:paraId="1DD18297" w14:textId="77777777" w:rsidR="00C2089B" w:rsidRDefault="00856391">
      <w:pPr>
        <w:pStyle w:val="ListParagraph"/>
        <w:numPr>
          <w:ilvl w:val="0"/>
          <w:numId w:val="2"/>
        </w:numPr>
        <w:spacing w:before="40" w:after="80"/>
      </w:pPr>
      <w:r>
        <w:t>CPD points for mentoring activity.</w:t>
      </w:r>
    </w:p>
    <w:p w14:paraId="1DD18298" w14:textId="77777777" w:rsidR="00C2089B" w:rsidRDefault="00856391">
      <w:pPr>
        <w:pStyle w:val="ListParagraph"/>
        <w:numPr>
          <w:ilvl w:val="0"/>
          <w:numId w:val="2"/>
        </w:numPr>
        <w:spacing w:before="40" w:after="80"/>
      </w:pPr>
      <w:r>
        <w:t>Fresh perspectives and exposure to new ideas from your mentee.</w:t>
      </w:r>
    </w:p>
    <w:p w14:paraId="1DD18299" w14:textId="77777777" w:rsidR="00C2089B" w:rsidRDefault="00856391">
      <w:pPr>
        <w:pStyle w:val="ListParagraph"/>
        <w:numPr>
          <w:ilvl w:val="0"/>
          <w:numId w:val="2"/>
        </w:numPr>
        <w:spacing w:before="40" w:after="80"/>
      </w:pPr>
      <w:r>
        <w:t>Development of coaching, guidance, and leadership skills.</w:t>
      </w:r>
    </w:p>
    <w:p w14:paraId="1DD1829A" w14:textId="77777777" w:rsidR="00C2089B" w:rsidRDefault="00856391">
      <w:pPr>
        <w:pStyle w:val="ListParagraph"/>
        <w:numPr>
          <w:ilvl w:val="0"/>
          <w:numId w:val="2"/>
        </w:numPr>
        <w:spacing w:before="40" w:after="80"/>
      </w:pPr>
      <w:r>
        <w:t>Contribution to the next generation of New Zealand occupational hygienists.</w:t>
      </w:r>
    </w:p>
    <w:p w14:paraId="1DD1829B" w14:textId="77777777" w:rsidR="00C2089B" w:rsidRDefault="00856391">
      <w:pPr>
        <w:pStyle w:val="ListParagraph"/>
        <w:numPr>
          <w:ilvl w:val="0"/>
          <w:numId w:val="2"/>
        </w:numPr>
        <w:spacing w:before="40" w:after="80"/>
      </w:pPr>
      <w:r>
        <w:t>Broadened professional network.</w:t>
      </w:r>
    </w:p>
    <w:p w14:paraId="1DD1829C" w14:textId="77777777" w:rsidR="00C2089B" w:rsidRDefault="00856391">
      <w:pPr>
        <w:pStyle w:val="ListParagraph"/>
        <w:numPr>
          <w:ilvl w:val="0"/>
          <w:numId w:val="2"/>
        </w:numPr>
        <w:spacing w:before="40" w:after="80"/>
      </w:pPr>
      <w:r>
        <w:t>Personal satisfaction and enhanced professional reputation.</w:t>
      </w:r>
    </w:p>
    <w:p w14:paraId="1DD1829D" w14:textId="77777777" w:rsidR="00C2089B" w:rsidRDefault="00C2089B">
      <w:pPr>
        <w:spacing w:before="120"/>
      </w:pPr>
    </w:p>
    <w:p w14:paraId="1DD1829E" w14:textId="77777777" w:rsidR="00C2089B" w:rsidRDefault="00856391">
      <w:pPr>
        <w:pStyle w:val="Heading1"/>
      </w:pPr>
      <w:r>
        <w:t>5. Programme Structure</w:t>
      </w:r>
    </w:p>
    <w:p w14:paraId="1DD1829F" w14:textId="77777777" w:rsidR="00C2089B" w:rsidRDefault="00856391">
      <w:pPr>
        <w:spacing w:before="60" w:after="120"/>
      </w:pPr>
      <w:r>
        <w:t>The programme runs two intake rounds per year — March and September. Applications received between intakes are held for the next available round.</w:t>
      </w:r>
    </w:p>
    <w:p w14:paraId="1DD182A0" w14:textId="77777777" w:rsidR="00C2089B" w:rsidRDefault="00C2089B">
      <w:pPr>
        <w:spacing w:before="80"/>
      </w:pPr>
    </w:p>
    <w:tbl>
      <w:tblPr>
        <w:tblW w:w="9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2400"/>
        <w:gridCol w:w="6626"/>
      </w:tblGrid>
      <w:tr w:rsidR="00C2089B" w14:paraId="1DD182A3" w14:textId="77777777">
        <w:tc>
          <w:tcPr>
            <w:tcW w:w="2400" w:type="dxa"/>
            <w:tcBorders>
              <w:top w:val="single" w:sz="4" w:space="0" w:color="CCCCCC"/>
              <w:left w:val="single" w:sz="4" w:space="0" w:color="CCCCCC"/>
              <w:bottom w:val="single" w:sz="4" w:space="0" w:color="CCCCCC"/>
              <w:right w:val="single" w:sz="4" w:space="0" w:color="CCCCCC"/>
            </w:tcBorders>
            <w:shd w:val="clear" w:color="auto" w:fill="3F049C"/>
            <w:tcMar>
              <w:top w:w="80" w:type="dxa"/>
              <w:left w:w="120" w:type="dxa"/>
              <w:bottom w:w="80" w:type="dxa"/>
              <w:right w:w="120" w:type="dxa"/>
            </w:tcMar>
          </w:tcPr>
          <w:p w14:paraId="1DD182A1" w14:textId="77777777" w:rsidR="00C2089B" w:rsidRDefault="00856391">
            <w:r>
              <w:rPr>
                <w:b/>
                <w:bCs/>
                <w:color w:val="FFFFFF"/>
              </w:rPr>
              <w:t>Stage</w:t>
            </w:r>
          </w:p>
        </w:tc>
        <w:tc>
          <w:tcPr>
            <w:tcW w:w="6626" w:type="dxa"/>
            <w:tcBorders>
              <w:top w:val="single" w:sz="4" w:space="0" w:color="CCCCCC"/>
              <w:left w:val="single" w:sz="4" w:space="0" w:color="CCCCCC"/>
              <w:bottom w:val="single" w:sz="4" w:space="0" w:color="CCCCCC"/>
              <w:right w:val="single" w:sz="4" w:space="0" w:color="CCCCCC"/>
            </w:tcBorders>
            <w:shd w:val="clear" w:color="auto" w:fill="3F049C"/>
            <w:tcMar>
              <w:top w:w="80" w:type="dxa"/>
              <w:left w:w="120" w:type="dxa"/>
              <w:bottom w:w="80" w:type="dxa"/>
              <w:right w:w="120" w:type="dxa"/>
            </w:tcMar>
          </w:tcPr>
          <w:p w14:paraId="1DD182A2" w14:textId="77777777" w:rsidR="00C2089B" w:rsidRDefault="00856391">
            <w:r>
              <w:rPr>
                <w:b/>
                <w:bCs/>
                <w:color w:val="FFFFFF"/>
              </w:rPr>
              <w:t>What Happens</w:t>
            </w:r>
          </w:p>
        </w:tc>
      </w:tr>
      <w:tr w:rsidR="00C2089B" w14:paraId="1DD182A6" w14:textId="77777777">
        <w:tc>
          <w:tcPr>
            <w:tcW w:w="2400" w:type="dxa"/>
            <w:tcBorders>
              <w:top w:val="single" w:sz="4" w:space="0" w:color="CCCCCC"/>
              <w:left w:val="single" w:sz="4" w:space="0" w:color="CCCCCC"/>
              <w:bottom w:val="single" w:sz="4" w:space="0" w:color="CCCCCC"/>
              <w:right w:val="single" w:sz="4" w:space="0" w:color="CCCCCC"/>
            </w:tcBorders>
            <w:shd w:val="clear" w:color="auto" w:fill="EDE8F7"/>
            <w:tcMar>
              <w:top w:w="80" w:type="dxa"/>
              <w:left w:w="120" w:type="dxa"/>
              <w:bottom w:w="80" w:type="dxa"/>
              <w:right w:w="120" w:type="dxa"/>
            </w:tcMar>
          </w:tcPr>
          <w:p w14:paraId="1DD182A4" w14:textId="77777777" w:rsidR="00C2089B" w:rsidRDefault="00856391">
            <w:r>
              <w:t>Apply</w:t>
            </w:r>
          </w:p>
        </w:tc>
        <w:tc>
          <w:tcPr>
            <w:tcW w:w="6626" w:type="dxa"/>
            <w:tcBorders>
              <w:top w:val="single" w:sz="4" w:space="0" w:color="CCCCCC"/>
              <w:left w:val="single" w:sz="4" w:space="0" w:color="CCCCCC"/>
              <w:bottom w:val="single" w:sz="4" w:space="0" w:color="CCCCCC"/>
              <w:right w:val="single" w:sz="4" w:space="0" w:color="CCCCCC"/>
            </w:tcBorders>
            <w:shd w:val="clear" w:color="auto" w:fill="EDE8F7"/>
            <w:tcMar>
              <w:top w:w="80" w:type="dxa"/>
              <w:left w:w="120" w:type="dxa"/>
              <w:bottom w:w="80" w:type="dxa"/>
              <w:right w:w="120" w:type="dxa"/>
            </w:tcMar>
          </w:tcPr>
          <w:p w14:paraId="1DD182A5" w14:textId="77777777" w:rsidR="00C2089B" w:rsidRDefault="00856391">
            <w:r>
              <w:t>Complete the application form and submit to the Mentoring Coordinator. Mentors and mentees apply separately.</w:t>
            </w:r>
          </w:p>
        </w:tc>
      </w:tr>
      <w:tr w:rsidR="00C2089B" w14:paraId="1DD182A9" w14:textId="77777777">
        <w:tc>
          <w:tcPr>
            <w:tcW w:w="2400" w:type="dxa"/>
            <w:tcBorders>
              <w:top w:val="single" w:sz="4" w:space="0" w:color="CCCCCC"/>
              <w:left w:val="single" w:sz="4" w:space="0" w:color="CCCCCC"/>
              <w:bottom w:val="single" w:sz="4" w:space="0" w:color="CCCCCC"/>
              <w:right w:val="single" w:sz="4" w:space="0" w:color="CCCCCC"/>
            </w:tcBorders>
            <w:tcMar>
              <w:top w:w="80" w:type="dxa"/>
              <w:left w:w="120" w:type="dxa"/>
              <w:bottom w:w="80" w:type="dxa"/>
              <w:right w:w="120" w:type="dxa"/>
            </w:tcMar>
          </w:tcPr>
          <w:p w14:paraId="1DD182A7" w14:textId="77777777" w:rsidR="00C2089B" w:rsidRDefault="00856391">
            <w:r>
              <w:t>Match</w:t>
            </w:r>
          </w:p>
        </w:tc>
        <w:tc>
          <w:tcPr>
            <w:tcW w:w="6626" w:type="dxa"/>
            <w:tcBorders>
              <w:top w:val="single" w:sz="4" w:space="0" w:color="CCCCCC"/>
              <w:left w:val="single" w:sz="4" w:space="0" w:color="CCCCCC"/>
              <w:bottom w:val="single" w:sz="4" w:space="0" w:color="CCCCCC"/>
              <w:right w:val="single" w:sz="4" w:space="0" w:color="CCCCCC"/>
            </w:tcBorders>
            <w:tcMar>
              <w:top w:w="80" w:type="dxa"/>
              <w:left w:w="120" w:type="dxa"/>
              <w:bottom w:w="80" w:type="dxa"/>
              <w:right w:w="120" w:type="dxa"/>
            </w:tcMar>
          </w:tcPr>
          <w:p w14:paraId="1DD182A8" w14:textId="77FA5742" w:rsidR="00C2089B" w:rsidRDefault="00856391">
            <w:r>
              <w:t xml:space="preserve">The </w:t>
            </w:r>
            <w:proofErr w:type="gramStart"/>
            <w:r>
              <w:t>Coordinator</w:t>
            </w:r>
            <w:proofErr w:type="gramEnd"/>
            <w:r>
              <w:t xml:space="preserve"> reviews applications and </w:t>
            </w:r>
            <w:r w:rsidR="00DD2759">
              <w:t xml:space="preserve">either confirms a self-nominated pair </w:t>
            </w:r>
            <w:r w:rsidR="00F769BB">
              <w:t xml:space="preserve">or proposes a match. </w:t>
            </w:r>
            <w:r>
              <w:t>Both parties confirm acceptance.</w:t>
            </w:r>
          </w:p>
        </w:tc>
      </w:tr>
      <w:tr w:rsidR="00C2089B" w14:paraId="1DD182AC" w14:textId="77777777">
        <w:tc>
          <w:tcPr>
            <w:tcW w:w="2400" w:type="dxa"/>
            <w:tcBorders>
              <w:top w:val="single" w:sz="4" w:space="0" w:color="CCCCCC"/>
              <w:left w:val="single" w:sz="4" w:space="0" w:color="CCCCCC"/>
              <w:bottom w:val="single" w:sz="4" w:space="0" w:color="CCCCCC"/>
              <w:right w:val="single" w:sz="4" w:space="0" w:color="CCCCCC"/>
            </w:tcBorders>
            <w:shd w:val="clear" w:color="auto" w:fill="EDE8F7"/>
            <w:tcMar>
              <w:top w:w="80" w:type="dxa"/>
              <w:left w:w="120" w:type="dxa"/>
              <w:bottom w:w="80" w:type="dxa"/>
              <w:right w:w="120" w:type="dxa"/>
            </w:tcMar>
          </w:tcPr>
          <w:p w14:paraId="1DD182AA" w14:textId="77777777" w:rsidR="00C2089B" w:rsidRDefault="00856391">
            <w:r>
              <w:t>Start-up Meeting</w:t>
            </w:r>
          </w:p>
        </w:tc>
        <w:tc>
          <w:tcPr>
            <w:tcW w:w="6626" w:type="dxa"/>
            <w:tcBorders>
              <w:top w:val="single" w:sz="4" w:space="0" w:color="CCCCCC"/>
              <w:left w:val="single" w:sz="4" w:space="0" w:color="CCCCCC"/>
              <w:bottom w:val="single" w:sz="4" w:space="0" w:color="CCCCCC"/>
              <w:right w:val="single" w:sz="4" w:space="0" w:color="CCCCCC"/>
            </w:tcBorders>
            <w:shd w:val="clear" w:color="auto" w:fill="EDE8F7"/>
            <w:tcMar>
              <w:top w:w="80" w:type="dxa"/>
              <w:left w:w="120" w:type="dxa"/>
              <w:bottom w:w="80" w:type="dxa"/>
              <w:right w:w="120" w:type="dxa"/>
            </w:tcMar>
          </w:tcPr>
          <w:p w14:paraId="1DD182AB" w14:textId="77777777" w:rsidR="00C2089B" w:rsidRDefault="00856391">
            <w:r>
              <w:t>Both parties meet (in person or online), complete the Agreement Form, and establish goals and meeting cadence.</w:t>
            </w:r>
          </w:p>
        </w:tc>
      </w:tr>
      <w:tr w:rsidR="00C2089B" w14:paraId="1DD182AF" w14:textId="77777777">
        <w:tc>
          <w:tcPr>
            <w:tcW w:w="2400" w:type="dxa"/>
            <w:tcBorders>
              <w:top w:val="single" w:sz="4" w:space="0" w:color="CCCCCC"/>
              <w:left w:val="single" w:sz="4" w:space="0" w:color="CCCCCC"/>
              <w:bottom w:val="single" w:sz="4" w:space="0" w:color="CCCCCC"/>
              <w:right w:val="single" w:sz="4" w:space="0" w:color="CCCCCC"/>
            </w:tcBorders>
            <w:tcMar>
              <w:top w:w="80" w:type="dxa"/>
              <w:left w:w="120" w:type="dxa"/>
              <w:bottom w:w="80" w:type="dxa"/>
              <w:right w:w="120" w:type="dxa"/>
            </w:tcMar>
          </w:tcPr>
          <w:p w14:paraId="1DD182AD" w14:textId="77777777" w:rsidR="00C2089B" w:rsidRDefault="00856391">
            <w:r>
              <w:t>Active Period</w:t>
            </w:r>
          </w:p>
        </w:tc>
        <w:tc>
          <w:tcPr>
            <w:tcW w:w="6626" w:type="dxa"/>
            <w:tcBorders>
              <w:top w:val="single" w:sz="4" w:space="0" w:color="CCCCCC"/>
              <w:left w:val="single" w:sz="4" w:space="0" w:color="CCCCCC"/>
              <w:bottom w:val="single" w:sz="4" w:space="0" w:color="CCCCCC"/>
              <w:right w:val="single" w:sz="4" w:space="0" w:color="CCCCCC"/>
            </w:tcBorders>
            <w:tcMar>
              <w:top w:w="80" w:type="dxa"/>
              <w:left w:w="120" w:type="dxa"/>
              <w:bottom w:w="80" w:type="dxa"/>
              <w:right w:w="120" w:type="dxa"/>
            </w:tcMar>
          </w:tcPr>
          <w:p w14:paraId="1DD182AE" w14:textId="77777777" w:rsidR="00C2089B" w:rsidRDefault="00856391">
            <w:r>
              <w:t>Regular meetings as agreed — typically monthly. The mentee drives scheduling.</w:t>
            </w:r>
          </w:p>
        </w:tc>
      </w:tr>
      <w:tr w:rsidR="00C2089B" w14:paraId="1DD182B2" w14:textId="77777777">
        <w:tc>
          <w:tcPr>
            <w:tcW w:w="2400" w:type="dxa"/>
            <w:tcBorders>
              <w:top w:val="single" w:sz="4" w:space="0" w:color="CCCCCC"/>
              <w:left w:val="single" w:sz="4" w:space="0" w:color="CCCCCC"/>
              <w:bottom w:val="single" w:sz="4" w:space="0" w:color="CCCCCC"/>
              <w:right w:val="single" w:sz="4" w:space="0" w:color="CCCCCC"/>
            </w:tcBorders>
            <w:shd w:val="clear" w:color="auto" w:fill="EDE8F7"/>
            <w:tcMar>
              <w:top w:w="80" w:type="dxa"/>
              <w:left w:w="120" w:type="dxa"/>
              <w:bottom w:w="80" w:type="dxa"/>
              <w:right w:w="120" w:type="dxa"/>
            </w:tcMar>
          </w:tcPr>
          <w:p w14:paraId="1DD182B0" w14:textId="77777777" w:rsidR="00C2089B" w:rsidRDefault="00856391">
            <w:r>
              <w:t>Month 2 Check-in</w:t>
            </w:r>
          </w:p>
        </w:tc>
        <w:tc>
          <w:tcPr>
            <w:tcW w:w="6626" w:type="dxa"/>
            <w:tcBorders>
              <w:top w:val="single" w:sz="4" w:space="0" w:color="CCCCCC"/>
              <w:left w:val="single" w:sz="4" w:space="0" w:color="CCCCCC"/>
              <w:bottom w:val="single" w:sz="4" w:space="0" w:color="CCCCCC"/>
              <w:right w:val="single" w:sz="4" w:space="0" w:color="CCCCCC"/>
            </w:tcBorders>
            <w:shd w:val="clear" w:color="auto" w:fill="EDE8F7"/>
            <w:tcMar>
              <w:top w:w="80" w:type="dxa"/>
              <w:left w:w="120" w:type="dxa"/>
              <w:bottom w:w="80" w:type="dxa"/>
              <w:right w:w="120" w:type="dxa"/>
            </w:tcMar>
          </w:tcPr>
          <w:p w14:paraId="1DD182B1" w14:textId="77777777" w:rsidR="00C2089B" w:rsidRDefault="00856391">
            <w:r>
              <w:t xml:space="preserve">A brief prompt from the </w:t>
            </w:r>
            <w:proofErr w:type="gramStart"/>
            <w:r>
              <w:t>Coordinator</w:t>
            </w:r>
            <w:proofErr w:type="gramEnd"/>
            <w:r>
              <w:t xml:space="preserve"> to both parties — is the relationship working, and is support needed?</w:t>
            </w:r>
          </w:p>
        </w:tc>
      </w:tr>
      <w:tr w:rsidR="00C2089B" w14:paraId="1DD182B5" w14:textId="77777777">
        <w:tc>
          <w:tcPr>
            <w:tcW w:w="2400" w:type="dxa"/>
            <w:tcBorders>
              <w:top w:val="single" w:sz="4" w:space="0" w:color="CCCCCC"/>
              <w:left w:val="single" w:sz="4" w:space="0" w:color="CCCCCC"/>
              <w:bottom w:val="single" w:sz="4" w:space="0" w:color="CCCCCC"/>
              <w:right w:val="single" w:sz="4" w:space="0" w:color="CCCCCC"/>
            </w:tcBorders>
            <w:tcMar>
              <w:top w:w="80" w:type="dxa"/>
              <w:left w:w="120" w:type="dxa"/>
              <w:bottom w:w="80" w:type="dxa"/>
              <w:right w:w="120" w:type="dxa"/>
            </w:tcMar>
          </w:tcPr>
          <w:p w14:paraId="1DD182B3" w14:textId="77777777" w:rsidR="00C2089B" w:rsidRDefault="00856391">
            <w:r>
              <w:t>Mid-point Review</w:t>
            </w:r>
          </w:p>
        </w:tc>
        <w:tc>
          <w:tcPr>
            <w:tcW w:w="6626" w:type="dxa"/>
            <w:tcBorders>
              <w:top w:val="single" w:sz="4" w:space="0" w:color="CCCCCC"/>
              <w:left w:val="single" w:sz="4" w:space="0" w:color="CCCCCC"/>
              <w:bottom w:val="single" w:sz="4" w:space="0" w:color="CCCCCC"/>
              <w:right w:val="single" w:sz="4" w:space="0" w:color="CCCCCC"/>
            </w:tcBorders>
            <w:tcMar>
              <w:top w:w="80" w:type="dxa"/>
              <w:left w:w="120" w:type="dxa"/>
              <w:bottom w:w="80" w:type="dxa"/>
              <w:right w:w="120" w:type="dxa"/>
            </w:tcMar>
          </w:tcPr>
          <w:p w14:paraId="1DD182B4" w14:textId="77777777" w:rsidR="00C2089B" w:rsidRDefault="00856391">
            <w:r>
              <w:t>Both parties review goals, adjust if needed, and decide whether to continue, extend, or close.</w:t>
            </w:r>
          </w:p>
        </w:tc>
      </w:tr>
      <w:tr w:rsidR="00C2089B" w14:paraId="1DD182B8" w14:textId="77777777">
        <w:tc>
          <w:tcPr>
            <w:tcW w:w="2400" w:type="dxa"/>
            <w:tcBorders>
              <w:top w:val="single" w:sz="4" w:space="0" w:color="CCCCCC"/>
              <w:left w:val="single" w:sz="4" w:space="0" w:color="CCCCCC"/>
              <w:bottom w:val="single" w:sz="4" w:space="0" w:color="CCCCCC"/>
              <w:right w:val="single" w:sz="4" w:space="0" w:color="CCCCCC"/>
            </w:tcBorders>
            <w:shd w:val="clear" w:color="auto" w:fill="EDE8F7"/>
            <w:tcMar>
              <w:top w:w="80" w:type="dxa"/>
              <w:left w:w="120" w:type="dxa"/>
              <w:bottom w:w="80" w:type="dxa"/>
              <w:right w:w="120" w:type="dxa"/>
            </w:tcMar>
          </w:tcPr>
          <w:p w14:paraId="1DD182B6" w14:textId="77777777" w:rsidR="00C2089B" w:rsidRDefault="00856391">
            <w:r>
              <w:t>Close-out</w:t>
            </w:r>
          </w:p>
        </w:tc>
        <w:tc>
          <w:tcPr>
            <w:tcW w:w="6626" w:type="dxa"/>
            <w:tcBorders>
              <w:top w:val="single" w:sz="4" w:space="0" w:color="CCCCCC"/>
              <w:left w:val="single" w:sz="4" w:space="0" w:color="CCCCCC"/>
              <w:bottom w:val="single" w:sz="4" w:space="0" w:color="CCCCCC"/>
              <w:right w:val="single" w:sz="4" w:space="0" w:color="CCCCCC"/>
            </w:tcBorders>
            <w:shd w:val="clear" w:color="auto" w:fill="EDE8F7"/>
            <w:tcMar>
              <w:top w:w="80" w:type="dxa"/>
              <w:left w:w="120" w:type="dxa"/>
              <w:bottom w:w="80" w:type="dxa"/>
              <w:right w:w="120" w:type="dxa"/>
            </w:tcMar>
          </w:tcPr>
          <w:p w14:paraId="1DD182B7" w14:textId="77777777" w:rsidR="00C2089B" w:rsidRDefault="00856391">
            <w:r>
              <w:t xml:space="preserve">Both </w:t>
            </w:r>
            <w:proofErr w:type="gramStart"/>
            <w:r>
              <w:t>parties</w:t>
            </w:r>
            <w:proofErr w:type="gramEnd"/>
            <w:r>
              <w:t xml:space="preserve"> complete evaluation forms and submit to the </w:t>
            </w:r>
            <w:proofErr w:type="gramStart"/>
            <w:r>
              <w:t>Coordinator</w:t>
            </w:r>
            <w:proofErr w:type="gramEnd"/>
            <w:r>
              <w:t>.</w:t>
            </w:r>
          </w:p>
        </w:tc>
      </w:tr>
    </w:tbl>
    <w:p w14:paraId="1DD182B9" w14:textId="77777777" w:rsidR="00C2089B" w:rsidRDefault="00C2089B">
      <w:pPr>
        <w:spacing w:before="120"/>
      </w:pPr>
    </w:p>
    <w:p w14:paraId="1DD182BA" w14:textId="77777777" w:rsidR="00C2089B" w:rsidRDefault="00856391">
      <w:pPr>
        <w:pStyle w:val="Heading1"/>
      </w:pPr>
      <w:r>
        <w:lastRenderedPageBreak/>
        <w:t>6. Setting Goals</w:t>
      </w:r>
    </w:p>
    <w:p w14:paraId="1DD182BB" w14:textId="77777777" w:rsidR="00C2089B" w:rsidRDefault="00856391">
      <w:pPr>
        <w:spacing w:before="60" w:after="120"/>
      </w:pPr>
      <w:proofErr w:type="gramStart"/>
      <w:r>
        <w:t>Goal-setting</w:t>
      </w:r>
      <w:proofErr w:type="gramEnd"/>
      <w:r>
        <w:t xml:space="preserve"> is the foundation of a productive mentoring relationship. Before the start-up meeting, mentees should consider:</w:t>
      </w:r>
    </w:p>
    <w:p w14:paraId="1DD182BC" w14:textId="77777777" w:rsidR="00C2089B" w:rsidRDefault="00856391">
      <w:pPr>
        <w:pStyle w:val="ListParagraph"/>
        <w:numPr>
          <w:ilvl w:val="0"/>
          <w:numId w:val="2"/>
        </w:numPr>
        <w:spacing w:before="40" w:after="80"/>
      </w:pPr>
      <w:r>
        <w:t>Where do you want to be professionally in 12–24 months?</w:t>
      </w:r>
    </w:p>
    <w:p w14:paraId="1DD182BD" w14:textId="77777777" w:rsidR="00C2089B" w:rsidRDefault="00856391">
      <w:pPr>
        <w:pStyle w:val="ListParagraph"/>
        <w:numPr>
          <w:ilvl w:val="0"/>
          <w:numId w:val="2"/>
        </w:numPr>
        <w:spacing w:before="40" w:after="80"/>
      </w:pPr>
      <w:r>
        <w:t>What is the gap between where you are now and where you want to be?</w:t>
      </w:r>
    </w:p>
    <w:p w14:paraId="1DD182BE" w14:textId="77777777" w:rsidR="00C2089B" w:rsidRDefault="00856391">
      <w:pPr>
        <w:pStyle w:val="ListParagraph"/>
        <w:numPr>
          <w:ilvl w:val="0"/>
          <w:numId w:val="2"/>
        </w:numPr>
        <w:spacing w:before="40" w:after="80"/>
      </w:pPr>
      <w:r>
        <w:t>What would you most like to work on — technical knowledge, confidence, career strategy?</w:t>
      </w:r>
    </w:p>
    <w:p w14:paraId="1DD182BF" w14:textId="77777777" w:rsidR="00C2089B" w:rsidRDefault="00856391">
      <w:pPr>
        <w:pStyle w:val="ListParagraph"/>
        <w:numPr>
          <w:ilvl w:val="0"/>
          <w:numId w:val="2"/>
        </w:numPr>
        <w:spacing w:before="40" w:after="80"/>
      </w:pPr>
      <w:r>
        <w:t>What does success look like at the end of this mentorship?</w:t>
      </w:r>
    </w:p>
    <w:p w14:paraId="1DD182C0" w14:textId="77777777" w:rsidR="00C2089B" w:rsidRDefault="00C2089B">
      <w:pPr>
        <w:spacing w:before="80"/>
      </w:pPr>
    </w:p>
    <w:p w14:paraId="1DD182C1" w14:textId="77777777" w:rsidR="00C2089B" w:rsidRDefault="00856391">
      <w:pPr>
        <w:spacing w:before="60" w:after="120"/>
      </w:pPr>
      <w:r>
        <w:t>Goals are documented in the Agreement Form and revisited at the mid-point review. It is normal for them to shift as the relationship develops.</w:t>
      </w:r>
    </w:p>
    <w:p w14:paraId="1DD182C2" w14:textId="77777777" w:rsidR="00C2089B" w:rsidRDefault="00C2089B">
      <w:pPr>
        <w:spacing w:before="120"/>
      </w:pPr>
    </w:p>
    <w:p w14:paraId="1DD182C3" w14:textId="77777777" w:rsidR="00C2089B" w:rsidRDefault="00856391">
      <w:pPr>
        <w:pStyle w:val="Heading1"/>
      </w:pPr>
      <w:r>
        <w:t>7. Mentoring Timeframe</w:t>
      </w:r>
    </w:p>
    <w:p w14:paraId="1DD182C4" w14:textId="77777777" w:rsidR="00C2089B" w:rsidRDefault="00856391">
      <w:pPr>
        <w:spacing w:before="60" w:after="120"/>
      </w:pPr>
      <w:r>
        <w:t>The mentoring relationship will normally run for no more than 24 months. The timeframe is set by mutual agreement at the start-up meeting. The mentee is responsible for coordinating meetings.</w:t>
      </w:r>
    </w:p>
    <w:p w14:paraId="1DD182C5" w14:textId="77777777" w:rsidR="00C2089B" w:rsidRDefault="00C2089B">
      <w:pPr>
        <w:spacing w:before="120"/>
      </w:pPr>
    </w:p>
    <w:p w14:paraId="1DD182C6" w14:textId="77777777" w:rsidR="00C2089B" w:rsidRDefault="00856391">
      <w:pPr>
        <w:pStyle w:val="Heading1"/>
      </w:pPr>
      <w:r>
        <w:t>8. Confidentiality</w:t>
      </w:r>
    </w:p>
    <w:p w14:paraId="1DD182C7" w14:textId="77777777" w:rsidR="00C2089B" w:rsidRDefault="00856391">
      <w:pPr>
        <w:spacing w:before="60" w:after="120"/>
      </w:pPr>
      <w:r>
        <w:t>Everything discussed in a mentoring relationship stays between the two parties. The mentor does not report conversations to the mentee's employer, manager, or any other person. Both parties should meet in settings that allow open conversation.</w:t>
      </w:r>
    </w:p>
    <w:p w14:paraId="1DD182C8" w14:textId="77777777" w:rsidR="00C2089B" w:rsidRDefault="00C2089B">
      <w:pPr>
        <w:spacing w:before="80"/>
      </w:pPr>
    </w:p>
    <w:tbl>
      <w:tblPr>
        <w:tblW w:w="9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9026"/>
      </w:tblGrid>
      <w:tr w:rsidR="00C2089B" w14:paraId="1DD182CA" w14:textId="77777777">
        <w:tc>
          <w:tcPr>
            <w:tcW w:w="0" w:type="auto"/>
            <w:tcBorders>
              <w:top w:val="none" w:sz="0" w:space="0" w:color="FFFFFF"/>
              <w:left w:val="single" w:sz="20" w:space="0" w:color="3358A6"/>
              <w:bottom w:val="none" w:sz="0" w:space="0" w:color="FFFFFF"/>
              <w:right w:val="none" w:sz="0" w:space="0" w:color="FFFFFF"/>
            </w:tcBorders>
            <w:shd w:val="clear" w:color="auto" w:fill="EBF0FA"/>
            <w:tcMar>
              <w:top w:w="100" w:type="dxa"/>
              <w:left w:w="200" w:type="dxa"/>
              <w:bottom w:w="100" w:type="dxa"/>
              <w:right w:w="120" w:type="dxa"/>
            </w:tcMar>
          </w:tcPr>
          <w:p w14:paraId="1DD182C9" w14:textId="03597CC4" w:rsidR="00C2089B" w:rsidRDefault="00856391">
            <w:pPr>
              <w:spacing w:before="40" w:after="40"/>
            </w:pPr>
            <w:r>
              <w:rPr>
                <w:color w:val="1A1A1A"/>
              </w:rPr>
              <w:t xml:space="preserve">If a concern arises that cannot be resolved between the two parties, it may be raised in confidence with the Mentoring Coordinator at </w:t>
            </w:r>
            <w:hyperlink r:id="rId7" w:history="1">
              <w:r w:rsidR="00DA1DBB" w:rsidRPr="0080595E">
                <w:rPr>
                  <w:rStyle w:val="Hyperlink"/>
                </w:rPr>
                <w:t>mentoring@nzohs.org.nz</w:t>
              </w:r>
            </w:hyperlink>
            <w:r w:rsidR="00DA1DBB">
              <w:rPr>
                <w:color w:val="1A1A1A"/>
              </w:rPr>
              <w:t>.</w:t>
            </w:r>
          </w:p>
        </w:tc>
      </w:tr>
    </w:tbl>
    <w:p w14:paraId="1DD182CB" w14:textId="77777777" w:rsidR="00C2089B" w:rsidRDefault="00C2089B">
      <w:pPr>
        <w:spacing w:before="120"/>
      </w:pPr>
    </w:p>
    <w:p w14:paraId="1DD182CC" w14:textId="77777777" w:rsidR="00C2089B" w:rsidRDefault="00856391">
      <w:pPr>
        <w:pStyle w:val="Heading1"/>
      </w:pPr>
      <w:r>
        <w:t>9. When Things Are Not Working</w:t>
      </w:r>
    </w:p>
    <w:p w14:paraId="1DD182CD" w14:textId="2B400638" w:rsidR="00C2089B" w:rsidRDefault="00856391">
      <w:pPr>
        <w:spacing w:before="60" w:after="120"/>
      </w:pPr>
      <w:r>
        <w:t xml:space="preserve">Either party may request a different match at any time without explanation. Contact the Mentoring Coordinator at </w:t>
      </w:r>
      <w:hyperlink r:id="rId8" w:history="1">
        <w:r w:rsidR="00DA1DBB" w:rsidRPr="0080595E">
          <w:rPr>
            <w:rStyle w:val="Hyperlink"/>
          </w:rPr>
          <w:t>mentoring@nzohs.org.nz</w:t>
        </w:r>
      </w:hyperlink>
      <w:r w:rsidR="00DA1DBB">
        <w:t xml:space="preserve">. </w:t>
      </w:r>
      <w:r>
        <w:t>There is no fault in acknowledging a mismatch — raising it early is always preferable to letting the relationship drift.</w:t>
      </w:r>
    </w:p>
    <w:p w14:paraId="1DD182CE" w14:textId="77777777" w:rsidR="00C2089B" w:rsidRDefault="00C2089B">
      <w:pPr>
        <w:spacing w:before="120"/>
      </w:pPr>
    </w:p>
    <w:p w14:paraId="1DD182CF" w14:textId="77777777" w:rsidR="00C2089B" w:rsidRDefault="00856391">
      <w:pPr>
        <w:pStyle w:val="Heading1"/>
      </w:pPr>
      <w:r>
        <w:t>10. CPD Recognition</w:t>
      </w:r>
    </w:p>
    <w:p w14:paraId="1DD182D0" w14:textId="77777777" w:rsidR="00C2089B" w:rsidRDefault="00856391">
      <w:pPr>
        <w:spacing w:before="60" w:after="120"/>
      </w:pPr>
      <w:r>
        <w:t>Participation in the mentoring programme — as either mentor or mentee — is eligible for CPD points under the NZOHS CPD framework. Record your participation in your CPD log. The Mentoring Coordinator can provide a confirmation letter on request.</w:t>
      </w:r>
    </w:p>
    <w:p w14:paraId="1DD182D1" w14:textId="77777777" w:rsidR="00C2089B" w:rsidRDefault="00C2089B">
      <w:pPr>
        <w:spacing w:before="120"/>
      </w:pPr>
    </w:p>
    <w:p w14:paraId="47F7EF31" w14:textId="77777777" w:rsidR="00DA1DBB" w:rsidRDefault="00DA1DBB">
      <w:pPr>
        <w:rPr>
          <w:b/>
          <w:bCs/>
          <w:color w:val="3F049C"/>
          <w:sz w:val="26"/>
          <w:szCs w:val="26"/>
        </w:rPr>
      </w:pPr>
      <w:r>
        <w:br w:type="page"/>
      </w:r>
    </w:p>
    <w:p w14:paraId="1DD182D2" w14:textId="523B4CA3" w:rsidR="00C2089B" w:rsidRDefault="00856391">
      <w:pPr>
        <w:pStyle w:val="Heading1"/>
      </w:pPr>
      <w:r>
        <w:lastRenderedPageBreak/>
        <w:t>11. How to Apply</w:t>
      </w:r>
    </w:p>
    <w:p w14:paraId="1DD182D3" w14:textId="4DD13B63" w:rsidR="00C2089B" w:rsidRDefault="00856391">
      <w:pPr>
        <w:pStyle w:val="ListParagraph"/>
        <w:numPr>
          <w:ilvl w:val="0"/>
          <w:numId w:val="3"/>
        </w:numPr>
        <w:spacing w:before="40" w:after="80"/>
      </w:pPr>
      <w:r>
        <w:t xml:space="preserve">Download the application form from </w:t>
      </w:r>
      <w:hyperlink r:id="rId9" w:history="1">
        <w:r w:rsidR="003E5398" w:rsidRPr="0080595E">
          <w:rPr>
            <w:rStyle w:val="Hyperlink"/>
          </w:rPr>
          <w:t>https://nzohs.org.nz/resources/mentoring-program/</w:t>
        </w:r>
      </w:hyperlink>
    </w:p>
    <w:p w14:paraId="1DD182D4" w14:textId="22A6492A" w:rsidR="00C2089B" w:rsidRDefault="00856391">
      <w:pPr>
        <w:pStyle w:val="ListParagraph"/>
        <w:numPr>
          <w:ilvl w:val="0"/>
          <w:numId w:val="3"/>
        </w:numPr>
        <w:spacing w:before="40" w:after="80"/>
      </w:pPr>
      <w:r>
        <w:t xml:space="preserve">Complete the form and send to </w:t>
      </w:r>
      <w:hyperlink r:id="rId10" w:history="1">
        <w:r w:rsidR="003E5398" w:rsidRPr="0080595E">
          <w:rPr>
            <w:rStyle w:val="Hyperlink"/>
          </w:rPr>
          <w:t>admin@nzohs.org.nz</w:t>
        </w:r>
      </w:hyperlink>
      <w:r w:rsidR="003E5398">
        <w:t xml:space="preserve">. </w:t>
      </w:r>
    </w:p>
    <w:p w14:paraId="1DD182D5" w14:textId="77777777" w:rsidR="00C2089B" w:rsidRDefault="00856391">
      <w:pPr>
        <w:pStyle w:val="ListParagraph"/>
        <w:numPr>
          <w:ilvl w:val="0"/>
          <w:numId w:val="3"/>
        </w:numPr>
        <w:spacing w:before="40" w:after="80"/>
      </w:pPr>
      <w:r>
        <w:t>Applications are processed at the March and September intakes.</w:t>
      </w:r>
    </w:p>
    <w:p w14:paraId="1DD182D6" w14:textId="77777777" w:rsidR="00C2089B" w:rsidRDefault="00856391">
      <w:pPr>
        <w:pStyle w:val="ListParagraph"/>
        <w:numPr>
          <w:ilvl w:val="0"/>
          <w:numId w:val="3"/>
        </w:numPr>
        <w:spacing w:before="40" w:after="80"/>
      </w:pPr>
      <w:r>
        <w:t>You will be contacted within four weeks of intake close.</w:t>
      </w:r>
    </w:p>
    <w:p w14:paraId="1DD182D7" w14:textId="5F440515" w:rsidR="00C2089B" w:rsidRDefault="00856391">
      <w:pPr>
        <w:pStyle w:val="ListParagraph"/>
        <w:numPr>
          <w:ilvl w:val="0"/>
          <w:numId w:val="3"/>
        </w:numPr>
        <w:spacing w:before="40" w:after="80"/>
      </w:pPr>
      <w:r>
        <w:t xml:space="preserve">Questions? Contact the Mentoring Coordinator at </w:t>
      </w:r>
      <w:hyperlink r:id="rId11" w:history="1">
        <w:r w:rsidR="003E5398" w:rsidRPr="0080595E">
          <w:rPr>
            <w:rStyle w:val="Hyperlink"/>
          </w:rPr>
          <w:t>mentoring@nzohs.org.nz</w:t>
        </w:r>
      </w:hyperlink>
      <w:r w:rsidR="003E5398">
        <w:t xml:space="preserve">. </w:t>
      </w:r>
    </w:p>
    <w:p w14:paraId="1DD182D8" w14:textId="77777777" w:rsidR="00C2089B" w:rsidRDefault="00C2089B">
      <w:pPr>
        <w:spacing w:before="200"/>
      </w:pPr>
    </w:p>
    <w:sectPr w:rsidR="00C2089B">
      <w:headerReference w:type="default" r:id="rId12"/>
      <w:footerReference w:type="default" r:id="rId13"/>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423FF92" w14:textId="77777777" w:rsidR="00856391" w:rsidRDefault="00856391">
      <w:r>
        <w:separator/>
      </w:r>
    </w:p>
  </w:endnote>
  <w:endnote w:type="continuationSeparator" w:id="0">
    <w:p w14:paraId="05D9B0CA" w14:textId="77777777" w:rsidR="00856391" w:rsidRDefault="0085639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D18309" w14:textId="7CC005B8" w:rsidR="00C2089B" w:rsidRDefault="00856391">
    <w:pPr>
      <w:pBdr>
        <w:top w:val="single" w:sz="4" w:space="4" w:color="B083BC"/>
      </w:pBdr>
      <w:tabs>
        <w:tab w:val="right" w:pos="9026"/>
      </w:tabs>
      <w:spacing w:before="80"/>
    </w:pPr>
    <w:r>
      <w:rPr>
        <w:color w:val="888888"/>
        <w:sz w:val="18"/>
        <w:szCs w:val="18"/>
      </w:rPr>
      <w:t xml:space="preserve">NZOHS Mentoring Programme — Participant </w:t>
    </w:r>
    <w:proofErr w:type="gramStart"/>
    <w:r>
      <w:rPr>
        <w:color w:val="888888"/>
        <w:sz w:val="18"/>
        <w:szCs w:val="18"/>
      </w:rPr>
      <w:t xml:space="preserve">Guide  </w:t>
    </w:r>
    <w:r>
      <w:rPr>
        <w:sz w:val="18"/>
        <w:szCs w:val="18"/>
      </w:rPr>
      <w:tab/>
    </w:r>
    <w:proofErr w:type="gramEnd"/>
    <w:r>
      <w:rPr>
        <w:color w:val="888888"/>
        <w:sz w:val="18"/>
        <w:szCs w:val="18"/>
      </w:rPr>
      <w:t xml:space="preserve">Page </w:t>
    </w:r>
    <w:r>
      <w:fldChar w:fldCharType="begin"/>
    </w:r>
    <w:r>
      <w:instrText>PAGE</w:instrText>
    </w:r>
    <w:r>
      <w:fldChar w:fldCharType="separate"/>
    </w:r>
    <w:r w:rsidR="00214728">
      <w:rPr>
        <w:noProof/>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D2A54E" w14:textId="77777777" w:rsidR="00856391" w:rsidRDefault="00856391">
      <w:r>
        <w:separator/>
      </w:r>
    </w:p>
  </w:footnote>
  <w:footnote w:type="continuationSeparator" w:id="0">
    <w:p w14:paraId="665C1357" w14:textId="77777777" w:rsidR="00856391" w:rsidRDefault="0085639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D18308" w14:textId="41CCE4A7" w:rsidR="00C2089B" w:rsidRDefault="003D0C6F">
    <w:pPr>
      <w:pBdr>
        <w:bottom w:val="single" w:sz="6" w:space="4" w:color="B083BC"/>
      </w:pBdr>
      <w:spacing w:after="120"/>
      <w:jc w:val="right"/>
    </w:pPr>
    <w:r w:rsidRPr="00EB4A3C">
      <w:rPr>
        <w:noProof/>
      </w:rPr>
      <w:drawing>
        <wp:anchor distT="0" distB="0" distL="114300" distR="114300" simplePos="0" relativeHeight="251659264" behindDoc="1" locked="0" layoutInCell="1" allowOverlap="1" wp14:anchorId="6C6CBB2D" wp14:editId="01ADD4F3">
          <wp:simplePos x="0" y="0"/>
          <wp:positionH relativeFrom="column">
            <wp:posOffset>-914400</wp:posOffset>
          </wp:positionH>
          <wp:positionV relativeFrom="paragraph">
            <wp:posOffset>-448310</wp:posOffset>
          </wp:positionV>
          <wp:extent cx="6648450" cy="762000"/>
          <wp:effectExtent l="0" t="0" r="0" b="0"/>
          <wp:wrapNone/>
          <wp:docPr id="1404372435" name="Picture 1" descr="The image is a geometric shape with a triangular prism design, featuring a gradient of blue and purple color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04372435" name="Picture 1" descr="The image is a geometric shape with a triangular prism design, featuring a gradient of blue and purple colors.&#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6648450" cy="762000"/>
                  </a:xfrm>
                  <a:prstGeom prst="rect">
                    <a:avLst/>
                  </a:prstGeom>
                </pic:spPr>
              </pic:pic>
            </a:graphicData>
          </a:graphic>
          <wp14:sizeRelH relativeFrom="page">
            <wp14:pctWidth>0</wp14:pctWidth>
          </wp14:sizeRelH>
          <wp14:sizeRelV relativeFrom="page">
            <wp14:pctHeight>0</wp14:pctHeight>
          </wp14:sizeRelV>
        </wp:anchor>
      </w:drawing>
    </w:r>
    <w:r>
      <w:rPr>
        <w:noProof/>
      </w:rPr>
      <w:drawing>
        <wp:inline distT="0" distB="0" distL="0" distR="0" wp14:anchorId="1DD1830A" wp14:editId="1DD1830B">
          <wp:extent cx="1143000" cy="257175"/>
          <wp:effectExtent l="0" t="0" r="0" b="0"/>
          <wp:docPr id="589501540" name="Picture 5895015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2"/>
                  <a:srcRect/>
                  <a:stretch>
                    <a:fillRect/>
                  </a:stretch>
                </pic:blipFill>
                <pic:spPr bwMode="auto">
                  <a:xfrm>
                    <a:off x="0" y="0"/>
                    <a:ext cx="1143000" cy="257175"/>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843E46"/>
    <w:multiLevelType w:val="hybridMultilevel"/>
    <w:tmpl w:val="97A8A1BA"/>
    <w:lvl w:ilvl="0" w:tplc="E2AA25EC">
      <w:start w:val="1"/>
      <w:numFmt w:val="bullet"/>
      <w:lvlText w:val="●"/>
      <w:lvlJc w:val="left"/>
      <w:pPr>
        <w:ind w:left="720" w:hanging="360"/>
      </w:pPr>
    </w:lvl>
    <w:lvl w:ilvl="1" w:tplc="31027F14">
      <w:start w:val="1"/>
      <w:numFmt w:val="bullet"/>
      <w:lvlText w:val="○"/>
      <w:lvlJc w:val="left"/>
      <w:pPr>
        <w:ind w:left="1440" w:hanging="360"/>
      </w:pPr>
    </w:lvl>
    <w:lvl w:ilvl="2" w:tplc="939E9DC0">
      <w:start w:val="1"/>
      <w:numFmt w:val="bullet"/>
      <w:lvlText w:val="■"/>
      <w:lvlJc w:val="left"/>
      <w:pPr>
        <w:ind w:left="2160" w:hanging="360"/>
      </w:pPr>
    </w:lvl>
    <w:lvl w:ilvl="3" w:tplc="7B1C6D4E">
      <w:start w:val="1"/>
      <w:numFmt w:val="bullet"/>
      <w:lvlText w:val="●"/>
      <w:lvlJc w:val="left"/>
      <w:pPr>
        <w:ind w:left="2880" w:hanging="360"/>
      </w:pPr>
    </w:lvl>
    <w:lvl w:ilvl="4" w:tplc="BBC2BB8E">
      <w:start w:val="1"/>
      <w:numFmt w:val="bullet"/>
      <w:lvlText w:val="○"/>
      <w:lvlJc w:val="left"/>
      <w:pPr>
        <w:ind w:left="3600" w:hanging="360"/>
      </w:pPr>
    </w:lvl>
    <w:lvl w:ilvl="5" w:tplc="DE88BEFE">
      <w:start w:val="1"/>
      <w:numFmt w:val="bullet"/>
      <w:lvlText w:val="■"/>
      <w:lvlJc w:val="left"/>
      <w:pPr>
        <w:ind w:left="4320" w:hanging="360"/>
      </w:pPr>
    </w:lvl>
    <w:lvl w:ilvl="6" w:tplc="BF28E51C">
      <w:start w:val="1"/>
      <w:numFmt w:val="bullet"/>
      <w:lvlText w:val="●"/>
      <w:lvlJc w:val="left"/>
      <w:pPr>
        <w:ind w:left="5040" w:hanging="360"/>
      </w:pPr>
    </w:lvl>
    <w:lvl w:ilvl="7" w:tplc="E9921AF4">
      <w:start w:val="1"/>
      <w:numFmt w:val="bullet"/>
      <w:lvlText w:val="●"/>
      <w:lvlJc w:val="left"/>
      <w:pPr>
        <w:ind w:left="5760" w:hanging="360"/>
      </w:pPr>
    </w:lvl>
    <w:lvl w:ilvl="8" w:tplc="81A6437C">
      <w:start w:val="1"/>
      <w:numFmt w:val="bullet"/>
      <w:lvlText w:val="●"/>
      <w:lvlJc w:val="left"/>
      <w:pPr>
        <w:ind w:left="6480" w:hanging="360"/>
      </w:pPr>
    </w:lvl>
  </w:abstractNum>
  <w:abstractNum w:abstractNumId="1" w15:restartNumberingAfterBreak="0">
    <w:nsid w:val="3A6D1635"/>
    <w:multiLevelType w:val="hybridMultilevel"/>
    <w:tmpl w:val="6D92F754"/>
    <w:lvl w:ilvl="0" w:tplc="0292070A">
      <w:start w:val="1"/>
      <w:numFmt w:val="bullet"/>
      <w:lvlText w:val="•"/>
      <w:lvlJc w:val="left"/>
      <w:pPr>
        <w:ind w:left="480" w:hanging="240"/>
      </w:pPr>
    </w:lvl>
    <w:lvl w:ilvl="1" w:tplc="88908734">
      <w:numFmt w:val="decimal"/>
      <w:lvlText w:val=""/>
      <w:lvlJc w:val="left"/>
    </w:lvl>
    <w:lvl w:ilvl="2" w:tplc="7198428C">
      <w:numFmt w:val="decimal"/>
      <w:lvlText w:val=""/>
      <w:lvlJc w:val="left"/>
    </w:lvl>
    <w:lvl w:ilvl="3" w:tplc="837A6C5C">
      <w:numFmt w:val="decimal"/>
      <w:lvlText w:val=""/>
      <w:lvlJc w:val="left"/>
    </w:lvl>
    <w:lvl w:ilvl="4" w:tplc="9BD0EFA2">
      <w:numFmt w:val="decimal"/>
      <w:lvlText w:val=""/>
      <w:lvlJc w:val="left"/>
    </w:lvl>
    <w:lvl w:ilvl="5" w:tplc="AA669228">
      <w:numFmt w:val="decimal"/>
      <w:lvlText w:val=""/>
      <w:lvlJc w:val="left"/>
    </w:lvl>
    <w:lvl w:ilvl="6" w:tplc="B6F44774">
      <w:numFmt w:val="decimal"/>
      <w:lvlText w:val=""/>
      <w:lvlJc w:val="left"/>
    </w:lvl>
    <w:lvl w:ilvl="7" w:tplc="86CA7ED0">
      <w:numFmt w:val="decimal"/>
      <w:lvlText w:val=""/>
      <w:lvlJc w:val="left"/>
    </w:lvl>
    <w:lvl w:ilvl="8" w:tplc="8A987122">
      <w:numFmt w:val="decimal"/>
      <w:lvlText w:val=""/>
      <w:lvlJc w:val="left"/>
    </w:lvl>
  </w:abstractNum>
  <w:abstractNum w:abstractNumId="2" w15:restartNumberingAfterBreak="0">
    <w:nsid w:val="492E1FF4"/>
    <w:multiLevelType w:val="hybridMultilevel"/>
    <w:tmpl w:val="08446194"/>
    <w:lvl w:ilvl="0" w:tplc="F38006AE">
      <w:start w:val="1"/>
      <w:numFmt w:val="decimal"/>
      <w:lvlText w:val="%1."/>
      <w:lvlJc w:val="left"/>
      <w:pPr>
        <w:ind w:left="480" w:hanging="240"/>
      </w:pPr>
    </w:lvl>
    <w:lvl w:ilvl="1" w:tplc="91200558">
      <w:numFmt w:val="decimal"/>
      <w:lvlText w:val=""/>
      <w:lvlJc w:val="left"/>
    </w:lvl>
    <w:lvl w:ilvl="2" w:tplc="4864A63A">
      <w:numFmt w:val="decimal"/>
      <w:lvlText w:val=""/>
      <w:lvlJc w:val="left"/>
    </w:lvl>
    <w:lvl w:ilvl="3" w:tplc="9EBC2FB0">
      <w:numFmt w:val="decimal"/>
      <w:lvlText w:val=""/>
      <w:lvlJc w:val="left"/>
    </w:lvl>
    <w:lvl w:ilvl="4" w:tplc="F6F222E8">
      <w:numFmt w:val="decimal"/>
      <w:lvlText w:val=""/>
      <w:lvlJc w:val="left"/>
    </w:lvl>
    <w:lvl w:ilvl="5" w:tplc="7534BA46">
      <w:numFmt w:val="decimal"/>
      <w:lvlText w:val=""/>
      <w:lvlJc w:val="left"/>
    </w:lvl>
    <w:lvl w:ilvl="6" w:tplc="A0DA4386">
      <w:numFmt w:val="decimal"/>
      <w:lvlText w:val=""/>
      <w:lvlJc w:val="left"/>
    </w:lvl>
    <w:lvl w:ilvl="7" w:tplc="C55AC450">
      <w:numFmt w:val="decimal"/>
      <w:lvlText w:val=""/>
      <w:lvlJc w:val="left"/>
    </w:lvl>
    <w:lvl w:ilvl="8" w:tplc="DB642158">
      <w:numFmt w:val="decimal"/>
      <w:lvlText w:val=""/>
      <w:lvlJc w:val="left"/>
    </w:lvl>
  </w:abstractNum>
  <w:num w:numId="1" w16cid:durableId="1563179671">
    <w:abstractNumId w:val="0"/>
    <w:lvlOverride w:ilvl="0">
      <w:startOverride w:val="1"/>
    </w:lvlOverride>
  </w:num>
  <w:num w:numId="2" w16cid:durableId="1188446507">
    <w:abstractNumId w:val="1"/>
    <w:lvlOverride w:ilvl="0">
      <w:startOverride w:val="1"/>
    </w:lvlOverride>
  </w:num>
  <w:num w:numId="3" w16cid:durableId="2120374829">
    <w:abstractNumId w:val="2"/>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2089B"/>
    <w:rsid w:val="00073F19"/>
    <w:rsid w:val="00214728"/>
    <w:rsid w:val="003D0C6F"/>
    <w:rsid w:val="003E5398"/>
    <w:rsid w:val="005F16D2"/>
    <w:rsid w:val="00710A62"/>
    <w:rsid w:val="00846DC3"/>
    <w:rsid w:val="00856391"/>
    <w:rsid w:val="008A5672"/>
    <w:rsid w:val="00C2089B"/>
    <w:rsid w:val="00D17A02"/>
    <w:rsid w:val="00DA1DBB"/>
    <w:rsid w:val="00DD2759"/>
    <w:rsid w:val="00F769BB"/>
    <w:rsid w:val="00FA0D50"/>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D18268"/>
  <w15:docId w15:val="{22BD986A-F6F8-4953-BAE3-9C53429AA2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color w:val="444444"/>
        <w:sz w:val="22"/>
        <w:szCs w:val="22"/>
        <w:lang w:val="en-NZ" w:eastAsia="en-N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pBdr>
        <w:bottom w:val="single" w:sz="6" w:space="4" w:color="B083BC"/>
      </w:pBdr>
      <w:spacing w:before="320" w:after="120"/>
      <w:outlineLvl w:val="0"/>
    </w:pPr>
    <w:rPr>
      <w:b/>
      <w:bCs/>
      <w:color w:val="3F049C"/>
      <w:sz w:val="26"/>
      <w:szCs w:val="26"/>
    </w:rPr>
  </w:style>
  <w:style w:type="paragraph" w:styleId="Heading2">
    <w:name w:val="heading 2"/>
    <w:uiPriority w:val="9"/>
    <w:unhideWhenUsed/>
    <w:qFormat/>
    <w:pPr>
      <w:spacing w:before="200" w:after="80"/>
      <w:outlineLvl w:val="1"/>
    </w:pPr>
    <w:rPr>
      <w:b/>
      <w:bCs/>
      <w:color w:val="3358A6"/>
      <w:sz w:val="23"/>
      <w:szCs w:val="23"/>
    </w:rPr>
  </w:style>
  <w:style w:type="paragraph" w:styleId="Heading3">
    <w:name w:val="heading 3"/>
    <w:uiPriority w:val="9"/>
    <w:semiHidden/>
    <w:unhideWhenUsed/>
    <w:qFormat/>
    <w:pPr>
      <w:spacing w:before="160" w:after="60"/>
      <w:outlineLvl w:val="2"/>
    </w:pPr>
    <w:rPr>
      <w:b/>
      <w:bCs/>
      <w:color w:val="1A1A1A"/>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rPr>
      <w:sz w:val="20"/>
      <w:szCs w:val="20"/>
    </w:rPr>
  </w:style>
  <w:style w:type="character" w:customStyle="1" w:styleId="FootnoteTextChar">
    <w:name w:val="Footnote Text Char"/>
    <w:link w:val="FootnoteText"/>
    <w:uiPriority w:val="99"/>
    <w:semiHidden/>
    <w:unhideWhenUsed/>
    <w:rPr>
      <w:sz w:val="20"/>
      <w:szCs w:val="20"/>
    </w:rPr>
  </w:style>
  <w:style w:type="character" w:styleId="EndnoteReference">
    <w:name w:val="endnote reference"/>
    <w:uiPriority w:val="99"/>
    <w:semiHidden/>
    <w:unhideWhenUsed/>
    <w:rPr>
      <w:vertAlign w:val="superscript"/>
    </w:rPr>
  </w:style>
  <w:style w:type="paragraph" w:styleId="EndnoteText">
    <w:name w:val="endnote text"/>
    <w:link w:val="EndnoteTextChar"/>
    <w:uiPriority w:val="99"/>
    <w:semiHidden/>
    <w:unhideWhenUsed/>
    <w:rPr>
      <w:sz w:val="20"/>
      <w:szCs w:val="20"/>
    </w:rPr>
  </w:style>
  <w:style w:type="character" w:customStyle="1" w:styleId="EndnoteTextChar">
    <w:name w:val="Endnote Text Char"/>
    <w:link w:val="EndnoteText"/>
    <w:uiPriority w:val="99"/>
    <w:semiHidden/>
    <w:unhideWhenUsed/>
    <w:rPr>
      <w:sz w:val="20"/>
      <w:szCs w:val="20"/>
    </w:rPr>
  </w:style>
  <w:style w:type="paragraph" w:styleId="Header">
    <w:name w:val="header"/>
    <w:basedOn w:val="Normal"/>
    <w:link w:val="HeaderChar"/>
    <w:uiPriority w:val="99"/>
    <w:unhideWhenUsed/>
    <w:rsid w:val="003D0C6F"/>
    <w:pPr>
      <w:tabs>
        <w:tab w:val="center" w:pos="4513"/>
        <w:tab w:val="right" w:pos="9026"/>
      </w:tabs>
    </w:pPr>
  </w:style>
  <w:style w:type="character" w:customStyle="1" w:styleId="HeaderChar">
    <w:name w:val="Header Char"/>
    <w:basedOn w:val="DefaultParagraphFont"/>
    <w:link w:val="Header"/>
    <w:uiPriority w:val="99"/>
    <w:rsid w:val="003D0C6F"/>
  </w:style>
  <w:style w:type="paragraph" w:styleId="Footer">
    <w:name w:val="footer"/>
    <w:basedOn w:val="Normal"/>
    <w:link w:val="FooterChar"/>
    <w:uiPriority w:val="99"/>
    <w:unhideWhenUsed/>
    <w:rsid w:val="003D0C6F"/>
    <w:pPr>
      <w:tabs>
        <w:tab w:val="center" w:pos="4513"/>
        <w:tab w:val="right" w:pos="9026"/>
      </w:tabs>
    </w:pPr>
  </w:style>
  <w:style w:type="character" w:customStyle="1" w:styleId="FooterChar">
    <w:name w:val="Footer Char"/>
    <w:basedOn w:val="DefaultParagraphFont"/>
    <w:link w:val="Footer"/>
    <w:uiPriority w:val="99"/>
    <w:rsid w:val="003D0C6F"/>
  </w:style>
  <w:style w:type="character" w:styleId="UnresolvedMention">
    <w:name w:val="Unresolved Mention"/>
    <w:basedOn w:val="DefaultParagraphFont"/>
    <w:uiPriority w:val="99"/>
    <w:semiHidden/>
    <w:unhideWhenUsed/>
    <w:rsid w:val="00DA1DB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mailto:mentoring@nzohs.org.nz"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mentoring@nzohs.org.nz" TargetMode="External"/><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mentoring@nzohs.org.nz"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mailto:admin@nzohs.org.nz" TargetMode="External"/><Relationship Id="rId4" Type="http://schemas.openxmlformats.org/officeDocument/2006/relationships/webSettings" Target="webSettings.xml"/><Relationship Id="rId9" Type="http://schemas.openxmlformats.org/officeDocument/2006/relationships/hyperlink" Target="https://nzohs.org.nz/resources/mentoring-program/"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7</TotalTime>
  <Pages>4</Pages>
  <Words>874</Words>
  <Characters>4983</Characters>
  <Application>Microsoft Office Word</Application>
  <DocSecurity>0</DocSecurity>
  <Lines>41</Lines>
  <Paragraphs>11</Paragraphs>
  <ScaleCrop>false</ScaleCrop>
  <Company/>
  <LinksUpToDate>false</LinksUpToDate>
  <CharactersWithSpaces>5846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Kerry Cheung</cp:lastModifiedBy>
  <cp:revision>11</cp:revision>
  <dcterms:created xsi:type="dcterms:W3CDTF">2026-04-24T02:25:00Z</dcterms:created>
  <dcterms:modified xsi:type="dcterms:W3CDTF">2026-04-24T03:09:00Z</dcterms:modified>
</cp:coreProperties>
</file>